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A78D23">
      <w:pPr>
        <w:adjustRightInd w:val="0"/>
        <w:snapToGrid w:val="0"/>
        <w:jc w:val="center"/>
        <w:rPr>
          <w:rFonts w:ascii="宋体" w:hAnsi="宋体"/>
          <w:b/>
          <w:bCs/>
          <w:color w:val="auto"/>
          <w:sz w:val="32"/>
          <w:szCs w:val="32"/>
          <w:highlight w:val="none"/>
        </w:rPr>
      </w:pPr>
      <w:r>
        <w:rPr>
          <w:rFonts w:hint="eastAsia" w:ascii="宋体" w:hAnsi="宋体"/>
          <w:b/>
          <w:bCs/>
          <w:color w:val="auto"/>
          <w:sz w:val="32"/>
          <w:szCs w:val="32"/>
          <w:highlight w:val="none"/>
        </w:rPr>
        <w:t>总   说   明</w:t>
      </w:r>
    </w:p>
    <w:p w14:paraId="6EB0ED0C">
      <w:pPr>
        <w:adjustRightInd w:val="0"/>
        <w:snapToGrid w:val="0"/>
        <w:rPr>
          <w:rFonts w:hint="eastAsia" w:ascii="宋体" w:hAnsi="宋体"/>
          <w:color w:val="auto"/>
          <w:szCs w:val="21"/>
          <w:highlight w:val="none"/>
        </w:rPr>
      </w:pPr>
      <w:r>
        <w:rPr>
          <w:rFonts w:hint="eastAsia" w:ascii="宋体" w:hAnsi="宋体"/>
          <w:color w:val="auto"/>
          <w:szCs w:val="21"/>
          <w:highlight w:val="none"/>
        </w:rPr>
        <w:t>工程名称：星间激光通信超净实验室建设工程设计、采购、施工总</w:t>
      </w:r>
    </w:p>
    <w:p w14:paraId="53CE0C8A">
      <w:pPr>
        <w:adjustRightInd w:val="0"/>
        <w:snapToGrid w:val="0"/>
        <w:rPr>
          <w:rFonts w:ascii="宋体" w:hAnsi="宋体"/>
          <w:color w:val="auto"/>
          <w:sz w:val="30"/>
          <w:szCs w:val="30"/>
          <w:highlight w:val="none"/>
        </w:rPr>
      </w:pPr>
      <w:r>
        <w:rPr>
          <w:rFonts w:hint="eastAsia" w:ascii="宋体" w:hAnsi="宋体"/>
          <w:color w:val="auto"/>
          <w:szCs w:val="21"/>
          <w:highlight w:val="none"/>
        </w:rPr>
        <w:t>承包（EPC）工程                                                     第  页 共  页</w:t>
      </w:r>
    </w:p>
    <w:tbl>
      <w:tblPr>
        <w:tblStyle w:val="6"/>
        <w:tblW w:w="8936" w:type="dxa"/>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8936"/>
      </w:tblGrid>
      <w:tr w14:paraId="605EE7DD">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510" w:hRule="atLeast"/>
          <w:jc w:val="center"/>
        </w:trPr>
        <w:tc>
          <w:tcPr>
            <w:tcW w:w="8936" w:type="dxa"/>
            <w:shd w:val="clear" w:color="auto" w:fill="auto"/>
            <w:vAlign w:val="center"/>
          </w:tcPr>
          <w:p w14:paraId="0A4E41C2">
            <w:pPr>
              <w:numPr>
                <w:ilvl w:val="0"/>
                <w:numId w:val="1"/>
              </w:numPr>
              <w:adjustRightInd w:val="0"/>
              <w:snapToGrid w:val="0"/>
              <w:jc w:val="left"/>
              <w:rPr>
                <w:rFonts w:hint="eastAsia" w:cs="Times New Roman"/>
                <w:color w:val="auto"/>
                <w:kern w:val="0"/>
                <w:sz w:val="20"/>
                <w:szCs w:val="20"/>
                <w:highlight w:val="none"/>
              </w:rPr>
            </w:pPr>
            <w:r>
              <w:rPr>
                <w:rFonts w:hint="eastAsia" w:cs="Times New Roman"/>
                <w:color w:val="auto"/>
                <w:kern w:val="0"/>
                <w:sz w:val="20"/>
                <w:szCs w:val="20"/>
                <w:highlight w:val="none"/>
              </w:rPr>
              <w:t>本次清单范围星间激光通信超净实验室建设工程设计、采购、施工总承包（EPC）工程 ，以招标图纸、工程技术要求和答疑文件为准。</w:t>
            </w:r>
          </w:p>
          <w:p w14:paraId="3EC0F1AC">
            <w:pPr>
              <w:pStyle w:val="4"/>
              <w:numPr>
                <w:ilvl w:val="0"/>
                <w:numId w:val="1"/>
              </w:numPr>
              <w:ind w:left="0" w:leftChars="0" w:firstLine="0" w:firstLineChars="0"/>
              <w:rPr>
                <w:rFonts w:hint="eastAsia"/>
                <w:color w:val="auto"/>
                <w:kern w:val="0"/>
                <w:sz w:val="20"/>
                <w:szCs w:val="20"/>
                <w:highlight w:val="none"/>
                <w:lang w:val="en-US" w:eastAsia="zh-CN"/>
              </w:rPr>
            </w:pPr>
            <w:r>
              <w:rPr>
                <w:rFonts w:hint="eastAsia"/>
                <w:color w:val="auto"/>
                <w:kern w:val="0"/>
                <w:sz w:val="20"/>
                <w:szCs w:val="20"/>
                <w:highlight w:val="none"/>
                <w:lang w:val="en-US" w:eastAsia="zh-CN"/>
              </w:rPr>
              <w:t xml:space="preserve"> 本工程采用施工图含税固定总价包干模式，结算时没有变更则工程造价不调整。</w:t>
            </w:r>
          </w:p>
          <w:p w14:paraId="0D5C4A64">
            <w:pPr>
              <w:pStyle w:val="4"/>
              <w:numPr>
                <w:ilvl w:val="-1"/>
                <w:numId w:val="0"/>
              </w:numPr>
              <w:ind w:left="0" w:leftChars="0" w:firstLine="0" w:firstLineChars="0"/>
              <w:rPr>
                <w:rFonts w:hint="eastAsia" w:eastAsia="宋体"/>
                <w:color w:val="auto"/>
                <w:kern w:val="0"/>
                <w:sz w:val="20"/>
                <w:szCs w:val="20"/>
                <w:highlight w:val="none"/>
                <w:lang w:val="en-US" w:eastAsia="zh-CN"/>
              </w:rPr>
            </w:pPr>
            <w:r>
              <w:rPr>
                <w:rFonts w:hint="eastAsia"/>
                <w:color w:val="auto"/>
                <w:kern w:val="0"/>
                <w:sz w:val="20"/>
                <w:szCs w:val="20"/>
                <w:highlight w:val="none"/>
                <w:lang w:val="en-US" w:eastAsia="zh-CN"/>
              </w:rPr>
              <w:t xml:space="preserve">2.1 </w:t>
            </w:r>
            <w:r>
              <w:rPr>
                <w:rFonts w:hint="eastAsia" w:eastAsia="宋体"/>
                <w:color w:val="auto"/>
                <w:kern w:val="0"/>
                <w:sz w:val="20"/>
                <w:szCs w:val="20"/>
                <w:highlight w:val="none"/>
                <w:lang w:val="en-US" w:eastAsia="zh-CN"/>
              </w:rPr>
              <w:t>本项目提供工程量清单，供投标人参考，具体工程量请投标人依据图纸、现场实际情况计算。招标人将根据投标人自报工程量的准确程度来判断投标人的技术水平高低以及是否有能力承接本项目。投标人在报价清单中未提出的工程量，即为投标人默认报价清单是能满足按图纸施工和保证施工质量及满足功能要求的，在后续的施工中发生的工程项目增加和工程量增加，导致造价增加和工期延误由中标的投标人自行承担。若投标人认为清单子目、工程量不全或核对后有错误的，请投标人在补充清单里具体列项进行调整并填入汇总表内，计入投标报价书中（见招标文件中投标报价汇总表）。</w:t>
            </w:r>
          </w:p>
          <w:p w14:paraId="205598B9">
            <w:pPr>
              <w:pStyle w:val="4"/>
              <w:numPr>
                <w:ilvl w:val="-1"/>
                <w:numId w:val="0"/>
              </w:numPr>
              <w:ind w:left="0" w:leftChars="0" w:firstLine="0" w:firstLineChars="0"/>
              <w:rPr>
                <w:rFonts w:hint="eastAsia" w:eastAsia="宋体"/>
                <w:color w:val="auto"/>
                <w:kern w:val="0"/>
                <w:sz w:val="20"/>
                <w:szCs w:val="20"/>
                <w:highlight w:val="none"/>
                <w:lang w:val="en-US" w:eastAsia="zh-CN"/>
              </w:rPr>
            </w:pPr>
            <w:r>
              <w:rPr>
                <w:rFonts w:hint="eastAsia"/>
                <w:color w:val="auto"/>
                <w:kern w:val="0"/>
                <w:sz w:val="20"/>
                <w:szCs w:val="20"/>
                <w:highlight w:val="none"/>
                <w:lang w:val="en-US" w:eastAsia="zh-CN"/>
              </w:rPr>
              <w:t xml:space="preserve">2.2 </w:t>
            </w:r>
            <w:r>
              <w:rPr>
                <w:rFonts w:hint="eastAsia" w:eastAsia="宋体"/>
                <w:color w:val="auto"/>
                <w:kern w:val="0"/>
                <w:sz w:val="20"/>
                <w:szCs w:val="20"/>
                <w:highlight w:val="none"/>
                <w:lang w:val="en-US" w:eastAsia="zh-CN"/>
              </w:rPr>
              <w:t>计价方式采用：全综合单价清单格式，其投标价包含按招标文件和技术要求中的承包范围、质量标准、工期等的充分考虑和人工、脚手架、加班费、机械、材料、预埋件、设备价、包装运输、施工技术、施工措施、场内运输、场内杂物垃圾清理费、进出场、场内施工道路修建及维护、风险费、管理费、利润、保险费（含疫情险）、卸货搬运费、检验检测费、安装调试、验收费、备品备件、特殊工具费、员工培训、售后服务技术服务费、两年免费保修费、日常保养费、成品保护费、总包配合费、水电费、政府主管部门规的报批报建费用，政策性文件规定及招标文件、合同包含的所有风险责任等各项因素并计算了全部费用。</w:t>
            </w:r>
          </w:p>
          <w:p w14:paraId="1D11381A">
            <w:pPr>
              <w:pStyle w:val="4"/>
              <w:numPr>
                <w:ilvl w:val="-1"/>
                <w:numId w:val="0"/>
              </w:numPr>
              <w:ind w:left="0" w:leftChars="0" w:firstLine="0" w:firstLineChars="0"/>
              <w:rPr>
                <w:rFonts w:hint="eastAsia" w:eastAsia="宋体"/>
                <w:color w:val="auto"/>
                <w:kern w:val="0"/>
                <w:sz w:val="20"/>
                <w:szCs w:val="20"/>
                <w:highlight w:val="none"/>
                <w:lang w:val="en-US" w:eastAsia="zh-CN"/>
              </w:rPr>
            </w:pPr>
            <w:r>
              <w:rPr>
                <w:rFonts w:hint="eastAsia"/>
                <w:color w:val="auto"/>
                <w:kern w:val="0"/>
                <w:sz w:val="20"/>
                <w:szCs w:val="20"/>
                <w:highlight w:val="none"/>
                <w:lang w:val="en-US" w:eastAsia="zh-CN"/>
              </w:rPr>
              <w:t xml:space="preserve">2.3 </w:t>
            </w:r>
            <w:r>
              <w:rPr>
                <w:rFonts w:hint="eastAsia" w:eastAsia="宋体"/>
                <w:color w:val="auto"/>
                <w:kern w:val="0"/>
                <w:sz w:val="20"/>
                <w:szCs w:val="20"/>
                <w:highlight w:val="none"/>
                <w:lang w:val="en-US" w:eastAsia="zh-CN"/>
              </w:rPr>
              <w:t>施工调试、措施、规费为不可竞争费用，工程变更结算时不做调整，并且包含临时设施、垂直运输费用等措施费（包含自身施工所需的防护棚、四口及五临边的防护）及规费。总包按现状提供垂直运输机械、外脚手架。</w:t>
            </w:r>
          </w:p>
          <w:p w14:paraId="16E8B1CF">
            <w:pPr>
              <w:pStyle w:val="4"/>
              <w:numPr>
                <w:ilvl w:val="-1"/>
                <w:numId w:val="0"/>
              </w:numPr>
              <w:ind w:left="0" w:leftChars="0" w:firstLine="0" w:firstLineChars="0"/>
              <w:rPr>
                <w:rFonts w:hint="eastAsia"/>
                <w:color w:val="auto"/>
                <w:kern w:val="0"/>
                <w:sz w:val="20"/>
                <w:szCs w:val="20"/>
                <w:highlight w:val="none"/>
                <w:lang w:val="en-US" w:eastAsia="zh-CN"/>
              </w:rPr>
            </w:pPr>
            <w:r>
              <w:rPr>
                <w:rFonts w:hint="eastAsia"/>
                <w:color w:val="auto"/>
                <w:kern w:val="0"/>
                <w:sz w:val="20"/>
                <w:szCs w:val="20"/>
                <w:highlight w:val="none"/>
                <w:lang w:val="en-US" w:eastAsia="zh-CN"/>
              </w:rPr>
              <w:t>3、商务标文件组成。</w:t>
            </w:r>
          </w:p>
          <w:p w14:paraId="5C06DEB2">
            <w:pPr>
              <w:pStyle w:val="4"/>
              <w:numPr>
                <w:ilvl w:val="-1"/>
                <w:numId w:val="0"/>
              </w:numPr>
              <w:ind w:left="0" w:leftChars="0" w:firstLine="0" w:firstLineChars="0"/>
              <w:rPr>
                <w:rFonts w:hint="eastAsia"/>
                <w:color w:val="auto"/>
                <w:kern w:val="0"/>
                <w:sz w:val="20"/>
                <w:szCs w:val="20"/>
                <w:highlight w:val="none"/>
                <w:lang w:val="en-US" w:eastAsia="zh-CN"/>
              </w:rPr>
            </w:pPr>
            <w:r>
              <w:rPr>
                <w:rFonts w:hint="eastAsia"/>
                <w:color w:val="auto"/>
                <w:kern w:val="0"/>
                <w:sz w:val="20"/>
                <w:szCs w:val="20"/>
                <w:highlight w:val="none"/>
                <w:lang w:val="en-US" w:eastAsia="zh-CN"/>
              </w:rPr>
              <w:t>3.1 市场清单格式：斯维尔或广联达等专业计价软件清单。</w:t>
            </w:r>
          </w:p>
          <w:p w14:paraId="4F0E40D1">
            <w:pPr>
              <w:pStyle w:val="4"/>
              <w:numPr>
                <w:ilvl w:val="-1"/>
                <w:numId w:val="0"/>
              </w:numPr>
              <w:ind w:left="0" w:leftChars="0" w:firstLine="0" w:firstLineChars="0"/>
              <w:rPr>
                <w:rFonts w:hint="eastAsia"/>
                <w:color w:val="auto"/>
                <w:kern w:val="0"/>
                <w:sz w:val="20"/>
                <w:szCs w:val="20"/>
                <w:highlight w:val="none"/>
                <w:lang w:val="en-US" w:eastAsia="zh-CN"/>
              </w:rPr>
            </w:pPr>
            <w:r>
              <w:rPr>
                <w:rFonts w:hint="eastAsia"/>
                <w:color w:val="auto"/>
                <w:kern w:val="0"/>
                <w:sz w:val="20"/>
                <w:szCs w:val="20"/>
                <w:highlight w:val="none"/>
                <w:lang w:val="en-US" w:eastAsia="zh-CN"/>
              </w:rPr>
              <w:t>3.2 甲供材料：无。</w:t>
            </w:r>
          </w:p>
          <w:p w14:paraId="7D6D2D02">
            <w:pPr>
              <w:pStyle w:val="4"/>
              <w:numPr>
                <w:ilvl w:val="-1"/>
                <w:numId w:val="0"/>
              </w:numPr>
              <w:ind w:left="0" w:leftChars="0" w:firstLine="0" w:firstLineChars="0"/>
              <w:rPr>
                <w:rFonts w:hint="eastAsia"/>
                <w:color w:val="auto"/>
                <w:kern w:val="0"/>
                <w:sz w:val="20"/>
                <w:szCs w:val="20"/>
                <w:highlight w:val="none"/>
                <w:lang w:val="en-US" w:eastAsia="zh-CN"/>
              </w:rPr>
            </w:pPr>
            <w:r>
              <w:rPr>
                <w:rFonts w:hint="eastAsia"/>
                <w:color w:val="auto"/>
                <w:kern w:val="0"/>
                <w:sz w:val="20"/>
                <w:szCs w:val="20"/>
                <w:highlight w:val="none"/>
                <w:lang w:val="en-US" w:eastAsia="zh-CN"/>
              </w:rPr>
              <w:t>3.3 暂定价：见暂列金额明细表。</w:t>
            </w:r>
          </w:p>
          <w:p w14:paraId="47B4C77E">
            <w:pPr>
              <w:pStyle w:val="4"/>
              <w:numPr>
                <w:ilvl w:val="-1"/>
                <w:numId w:val="0"/>
              </w:numPr>
              <w:ind w:left="0" w:leftChars="0" w:firstLine="0" w:firstLineChars="0"/>
              <w:rPr>
                <w:rFonts w:hint="eastAsia"/>
                <w:color w:val="auto"/>
                <w:kern w:val="0"/>
                <w:sz w:val="20"/>
                <w:szCs w:val="20"/>
                <w:highlight w:val="none"/>
                <w:lang w:val="en-US" w:eastAsia="zh-CN"/>
              </w:rPr>
            </w:pPr>
            <w:r>
              <w:rPr>
                <w:rFonts w:hint="eastAsia"/>
                <w:color w:val="auto"/>
                <w:kern w:val="0"/>
                <w:sz w:val="20"/>
                <w:szCs w:val="20"/>
                <w:highlight w:val="none"/>
                <w:lang w:val="en-US" w:eastAsia="zh-CN"/>
              </w:rPr>
              <w:t>4、投标人报价时需详细列出所用材料、设备的品牌、型号/产地。</w:t>
            </w:r>
          </w:p>
          <w:p w14:paraId="29670544">
            <w:pPr>
              <w:pStyle w:val="4"/>
              <w:numPr>
                <w:ilvl w:val="-1"/>
                <w:numId w:val="0"/>
              </w:numPr>
              <w:ind w:left="0" w:leftChars="0" w:firstLine="0" w:firstLineChars="0"/>
              <w:rPr>
                <w:rFonts w:hint="eastAsia"/>
                <w:color w:val="auto"/>
                <w:kern w:val="0"/>
                <w:sz w:val="20"/>
                <w:szCs w:val="20"/>
                <w:highlight w:val="none"/>
                <w:lang w:val="en-US" w:eastAsia="zh-CN"/>
              </w:rPr>
            </w:pPr>
            <w:r>
              <w:rPr>
                <w:rFonts w:hint="eastAsia"/>
                <w:color w:val="auto"/>
                <w:kern w:val="0"/>
                <w:sz w:val="20"/>
                <w:szCs w:val="20"/>
                <w:highlight w:val="none"/>
                <w:lang w:val="en-US" w:eastAsia="zh-CN"/>
              </w:rPr>
              <w:t>5、若图纸有重大设计变更或招标人要求导致的工程量变化，相同或相近项目单价优先采用清单中单价结算（含计日工单价），如合同单价无法套用，则按照《建设工程工程量清单计价规范》GB50500-2013；《深圳市安装工程消耗量标准（2020）》；《深圳市建设工程施工机械台班定额（2014）》；《深圳市装饰工程消耗量定额(2020)》；按计价费率标准2023年（安全文明施工费按各专业取费），材料价格按照《深圳建设工程价格信息》2025年3月进行计价，缺项材料经市场询价计算，人工单价按照深圳市2025年3月份价格计取，投标人综合考虑总价下浮率（不得低于成本价）进行计价，此下浮比例必须在《投标总价表》中相应位置填写，否则报价无效）。</w:t>
            </w:r>
          </w:p>
          <w:p w14:paraId="5B6A5CD3">
            <w:pPr>
              <w:pStyle w:val="4"/>
              <w:numPr>
                <w:ilvl w:val="-1"/>
                <w:numId w:val="0"/>
              </w:numPr>
              <w:ind w:left="0" w:leftChars="0" w:firstLine="0" w:firstLineChars="0"/>
              <w:rPr>
                <w:rFonts w:hint="eastAsia"/>
                <w:color w:val="auto"/>
                <w:kern w:val="0"/>
                <w:sz w:val="20"/>
                <w:szCs w:val="20"/>
                <w:highlight w:val="none"/>
                <w:lang w:val="en-US" w:eastAsia="zh-CN"/>
              </w:rPr>
            </w:pPr>
            <w:bookmarkStart w:id="0" w:name="_GoBack"/>
            <w:bookmarkEnd w:id="0"/>
            <w:r>
              <w:rPr>
                <w:rFonts w:hint="eastAsia"/>
                <w:color w:val="auto"/>
                <w:kern w:val="0"/>
                <w:sz w:val="20"/>
                <w:szCs w:val="20"/>
                <w:highlight w:val="none"/>
                <w:lang w:val="en-US" w:eastAsia="zh-CN"/>
              </w:rPr>
              <w:t>6、对于工程量清单中备注、品名、形式相同请统一单价，若在投标文件中有差异，则招标方均按同类价格最低的给予调整，请各投标单位仔细阅读甲方招标资料。图纸标注与技术要求有矛盾之处，以技术要求为准。</w:t>
            </w:r>
          </w:p>
          <w:p w14:paraId="5D06A81C">
            <w:pPr>
              <w:pStyle w:val="4"/>
              <w:numPr>
                <w:ilvl w:val="-1"/>
                <w:numId w:val="0"/>
              </w:numPr>
              <w:ind w:left="0" w:leftChars="0" w:firstLine="0" w:firstLineChars="0"/>
              <w:rPr>
                <w:rFonts w:hint="eastAsia"/>
                <w:color w:val="auto"/>
                <w:kern w:val="0"/>
                <w:sz w:val="20"/>
                <w:szCs w:val="20"/>
                <w:highlight w:val="none"/>
                <w:lang w:val="en-US" w:eastAsia="zh-CN"/>
              </w:rPr>
            </w:pPr>
            <w:r>
              <w:rPr>
                <w:rFonts w:hint="eastAsia"/>
                <w:color w:val="auto"/>
                <w:kern w:val="0"/>
                <w:sz w:val="20"/>
                <w:szCs w:val="20"/>
                <w:highlight w:val="none"/>
                <w:lang w:val="en-US" w:eastAsia="zh-CN"/>
              </w:rPr>
              <w:t>7、若针对招标清单的回标报价中存在漏报价格，则视为漏项的相关费用已包含在其他回标报价之中。</w:t>
            </w:r>
          </w:p>
          <w:p w14:paraId="1AD42871">
            <w:pPr>
              <w:pStyle w:val="4"/>
              <w:numPr>
                <w:ilvl w:val="-1"/>
                <w:numId w:val="0"/>
              </w:numPr>
              <w:ind w:left="0" w:leftChars="0" w:firstLine="0" w:firstLineChars="0"/>
              <w:rPr>
                <w:rFonts w:hint="default" w:eastAsia="宋体"/>
                <w:color w:val="auto"/>
                <w:kern w:val="0"/>
                <w:sz w:val="20"/>
                <w:szCs w:val="20"/>
                <w:highlight w:val="none"/>
                <w:lang w:val="en-US" w:eastAsia="zh-CN"/>
              </w:rPr>
            </w:pPr>
            <w:r>
              <w:rPr>
                <w:rFonts w:hint="eastAsia"/>
                <w:color w:val="auto"/>
                <w:kern w:val="0"/>
                <w:sz w:val="20"/>
                <w:szCs w:val="20"/>
                <w:highlight w:val="none"/>
                <w:lang w:val="en-US" w:eastAsia="zh-CN"/>
              </w:rPr>
              <w:t>8、本页不得删除或修改,将作为合同清单的有效组成部分。</w:t>
            </w:r>
          </w:p>
          <w:p w14:paraId="56C0FF2C">
            <w:pPr>
              <w:adjustRightInd w:val="0"/>
              <w:snapToGrid w:val="0"/>
              <w:jc w:val="left"/>
              <w:rPr>
                <w:rFonts w:cs="Times New Roman"/>
                <w:color w:val="auto"/>
                <w:kern w:val="0"/>
                <w:sz w:val="20"/>
                <w:szCs w:val="20"/>
                <w:highlight w:val="none"/>
              </w:rPr>
            </w:pPr>
          </w:p>
          <w:p w14:paraId="558A597C">
            <w:pPr>
              <w:adjustRightInd w:val="0"/>
              <w:snapToGrid w:val="0"/>
              <w:jc w:val="left"/>
              <w:rPr>
                <w:rFonts w:cs="Times New Roman"/>
                <w:color w:val="auto"/>
                <w:kern w:val="0"/>
                <w:sz w:val="20"/>
                <w:szCs w:val="20"/>
                <w:highlight w:val="none"/>
              </w:rPr>
            </w:pPr>
          </w:p>
          <w:p w14:paraId="5C92FAD7">
            <w:pPr>
              <w:adjustRightInd w:val="0"/>
              <w:snapToGrid w:val="0"/>
              <w:jc w:val="left"/>
              <w:rPr>
                <w:rFonts w:cs="Times New Roman"/>
                <w:color w:val="auto"/>
                <w:kern w:val="0"/>
                <w:sz w:val="20"/>
                <w:szCs w:val="20"/>
                <w:highlight w:val="none"/>
              </w:rPr>
            </w:pPr>
          </w:p>
          <w:p w14:paraId="0113E362">
            <w:pPr>
              <w:adjustRightInd w:val="0"/>
              <w:snapToGrid w:val="0"/>
              <w:jc w:val="left"/>
              <w:rPr>
                <w:rFonts w:cs="Times New Roman"/>
                <w:color w:val="auto"/>
                <w:kern w:val="0"/>
                <w:sz w:val="20"/>
                <w:szCs w:val="20"/>
                <w:highlight w:val="none"/>
              </w:rPr>
            </w:pPr>
          </w:p>
          <w:p w14:paraId="05D3CB04">
            <w:pPr>
              <w:adjustRightInd w:val="0"/>
              <w:snapToGrid w:val="0"/>
              <w:jc w:val="left"/>
              <w:rPr>
                <w:rFonts w:cs="Times New Roman"/>
                <w:color w:val="auto"/>
                <w:kern w:val="0"/>
                <w:sz w:val="20"/>
                <w:szCs w:val="20"/>
                <w:highlight w:val="none"/>
              </w:rPr>
            </w:pPr>
          </w:p>
          <w:p w14:paraId="4EF1FEBF">
            <w:pPr>
              <w:adjustRightInd w:val="0"/>
              <w:snapToGrid w:val="0"/>
              <w:jc w:val="left"/>
              <w:rPr>
                <w:rFonts w:cs="Times New Roman"/>
                <w:color w:val="auto"/>
                <w:kern w:val="0"/>
                <w:sz w:val="20"/>
                <w:szCs w:val="20"/>
                <w:highlight w:val="none"/>
              </w:rPr>
            </w:pPr>
          </w:p>
          <w:p w14:paraId="36B6679B">
            <w:pPr>
              <w:adjustRightInd w:val="0"/>
              <w:snapToGrid w:val="0"/>
              <w:jc w:val="left"/>
              <w:rPr>
                <w:rFonts w:cs="Times New Roman"/>
                <w:color w:val="auto"/>
                <w:kern w:val="0"/>
                <w:sz w:val="20"/>
                <w:szCs w:val="20"/>
                <w:highlight w:val="none"/>
              </w:rPr>
            </w:pPr>
          </w:p>
          <w:p w14:paraId="41D85BC2">
            <w:pPr>
              <w:adjustRightInd w:val="0"/>
              <w:snapToGrid w:val="0"/>
              <w:jc w:val="left"/>
              <w:rPr>
                <w:rFonts w:cs="Times New Roman"/>
                <w:color w:val="auto"/>
                <w:kern w:val="0"/>
                <w:sz w:val="20"/>
                <w:szCs w:val="20"/>
                <w:highlight w:val="none"/>
              </w:rPr>
            </w:pPr>
          </w:p>
          <w:p w14:paraId="4DA9D6C5">
            <w:pPr>
              <w:adjustRightInd w:val="0"/>
              <w:snapToGrid w:val="0"/>
              <w:jc w:val="left"/>
              <w:rPr>
                <w:rFonts w:cs="Times New Roman"/>
                <w:color w:val="auto"/>
                <w:kern w:val="0"/>
                <w:sz w:val="20"/>
                <w:szCs w:val="20"/>
                <w:highlight w:val="none"/>
              </w:rPr>
            </w:pPr>
          </w:p>
          <w:p w14:paraId="256DF255">
            <w:pPr>
              <w:adjustRightInd w:val="0"/>
              <w:snapToGrid w:val="0"/>
              <w:jc w:val="left"/>
              <w:rPr>
                <w:rFonts w:cs="Times New Roman"/>
                <w:color w:val="auto"/>
                <w:kern w:val="0"/>
                <w:sz w:val="20"/>
                <w:szCs w:val="20"/>
                <w:highlight w:val="none"/>
              </w:rPr>
            </w:pPr>
          </w:p>
          <w:p w14:paraId="00876063">
            <w:pPr>
              <w:adjustRightInd w:val="0"/>
              <w:snapToGrid w:val="0"/>
              <w:jc w:val="left"/>
              <w:rPr>
                <w:rFonts w:cs="Times New Roman"/>
                <w:color w:val="auto"/>
                <w:kern w:val="0"/>
                <w:sz w:val="20"/>
                <w:szCs w:val="20"/>
                <w:highlight w:val="none"/>
              </w:rPr>
            </w:pPr>
          </w:p>
          <w:p w14:paraId="3826D206">
            <w:pPr>
              <w:adjustRightInd w:val="0"/>
              <w:snapToGrid w:val="0"/>
              <w:jc w:val="left"/>
              <w:rPr>
                <w:rFonts w:cs="Times New Roman"/>
                <w:color w:val="auto"/>
                <w:kern w:val="0"/>
                <w:sz w:val="20"/>
                <w:szCs w:val="20"/>
                <w:highlight w:val="none"/>
              </w:rPr>
            </w:pPr>
          </w:p>
          <w:p w14:paraId="36C6BC83">
            <w:pPr>
              <w:adjustRightInd w:val="0"/>
              <w:snapToGrid w:val="0"/>
              <w:jc w:val="left"/>
              <w:rPr>
                <w:rFonts w:cs="Times New Roman"/>
                <w:color w:val="auto"/>
                <w:kern w:val="0"/>
                <w:sz w:val="20"/>
                <w:szCs w:val="20"/>
                <w:highlight w:val="none"/>
              </w:rPr>
            </w:pPr>
          </w:p>
          <w:p w14:paraId="2E500110">
            <w:pPr>
              <w:adjustRightInd w:val="0"/>
              <w:snapToGrid w:val="0"/>
              <w:jc w:val="left"/>
              <w:rPr>
                <w:rFonts w:cs="Times New Roman"/>
                <w:color w:val="auto"/>
                <w:kern w:val="0"/>
                <w:sz w:val="20"/>
                <w:szCs w:val="20"/>
                <w:highlight w:val="none"/>
              </w:rPr>
            </w:pPr>
          </w:p>
          <w:p w14:paraId="5A5C383A">
            <w:pPr>
              <w:adjustRightInd w:val="0"/>
              <w:snapToGrid w:val="0"/>
              <w:jc w:val="left"/>
              <w:rPr>
                <w:rFonts w:cs="Times New Roman"/>
                <w:color w:val="auto"/>
                <w:kern w:val="0"/>
                <w:sz w:val="20"/>
                <w:szCs w:val="20"/>
                <w:highlight w:val="none"/>
              </w:rPr>
            </w:pPr>
          </w:p>
          <w:p w14:paraId="38EBD4E9">
            <w:pPr>
              <w:adjustRightInd w:val="0"/>
              <w:snapToGrid w:val="0"/>
              <w:jc w:val="left"/>
              <w:rPr>
                <w:rFonts w:cs="Times New Roman"/>
                <w:color w:val="auto"/>
                <w:kern w:val="0"/>
                <w:sz w:val="20"/>
                <w:szCs w:val="20"/>
                <w:highlight w:val="none"/>
              </w:rPr>
            </w:pPr>
          </w:p>
          <w:p w14:paraId="76A63ABB">
            <w:pPr>
              <w:adjustRightInd w:val="0"/>
              <w:snapToGrid w:val="0"/>
              <w:jc w:val="left"/>
              <w:rPr>
                <w:rFonts w:cs="Times New Roman"/>
                <w:color w:val="auto"/>
                <w:kern w:val="0"/>
                <w:sz w:val="20"/>
                <w:szCs w:val="20"/>
                <w:highlight w:val="none"/>
              </w:rPr>
            </w:pPr>
          </w:p>
          <w:p w14:paraId="273BD03E">
            <w:pPr>
              <w:adjustRightInd w:val="0"/>
              <w:snapToGrid w:val="0"/>
              <w:jc w:val="left"/>
              <w:rPr>
                <w:rFonts w:cs="Times New Roman"/>
                <w:color w:val="auto"/>
                <w:kern w:val="0"/>
                <w:sz w:val="20"/>
                <w:szCs w:val="20"/>
                <w:highlight w:val="none"/>
              </w:rPr>
            </w:pPr>
          </w:p>
          <w:p w14:paraId="4DCF6BE6">
            <w:pPr>
              <w:adjustRightInd w:val="0"/>
              <w:snapToGrid w:val="0"/>
              <w:jc w:val="left"/>
              <w:rPr>
                <w:rFonts w:cs="Times New Roman"/>
                <w:color w:val="auto"/>
                <w:kern w:val="0"/>
                <w:sz w:val="20"/>
                <w:szCs w:val="20"/>
                <w:highlight w:val="none"/>
              </w:rPr>
            </w:pPr>
          </w:p>
        </w:tc>
      </w:tr>
    </w:tbl>
    <w:p w14:paraId="67CC63D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790B41"/>
    <w:multiLevelType w:val="singleLevel"/>
    <w:tmpl w:val="23790B4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6A2EF9"/>
    <w:rsid w:val="126A2EF9"/>
    <w:rsid w:val="54296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宋体"/>
      <w:kern w:val="2"/>
      <w:sz w:val="21"/>
      <w:szCs w:val="22"/>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next w:val="3"/>
    <w:unhideWhenUsed/>
    <w:qFormat/>
    <w:uiPriority w:val="0"/>
    <w:pPr>
      <w:spacing w:after="120"/>
      <w:ind w:left="420" w:leftChars="200"/>
    </w:pPr>
  </w:style>
  <w:style w:type="paragraph" w:styleId="3">
    <w:name w:val="envelope return"/>
    <w:basedOn w:val="1"/>
    <w:unhideWhenUsed/>
    <w:qFormat/>
    <w:uiPriority w:val="99"/>
    <w:pPr>
      <w:widowControl w:val="0"/>
      <w:snapToGrid w:val="0"/>
      <w:jc w:val="both"/>
    </w:pPr>
    <w:rPr>
      <w:rFonts w:ascii="Arial" w:hAnsi="Arial" w:eastAsia="宋体" w:cs="Times New Roman"/>
      <w:kern w:val="2"/>
      <w:sz w:val="21"/>
      <w:lang w:val="en-US" w:eastAsia="zh-CN" w:bidi="ar-SA"/>
    </w:rPr>
  </w:style>
  <w:style w:type="paragraph" w:styleId="4">
    <w:name w:val="Body Text First Indent 2"/>
    <w:basedOn w:val="2"/>
    <w:unhideWhenUsed/>
    <w:qFormat/>
    <w:uiPriority w:val="99"/>
    <w:pPr>
      <w:ind w:firstLine="420" w:firstLineChars="200"/>
    </w:pPr>
    <w:rPr>
      <w:rFonts w:cs="Times New Roman"/>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1290</Words>
  <Characters>1332</Characters>
  <Lines>0</Lines>
  <Paragraphs>0</Paragraphs>
  <TotalTime>0</TotalTime>
  <ScaleCrop>false</ScaleCrop>
  <LinksUpToDate>false</LinksUpToDate>
  <CharactersWithSpaces>1404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2025-02-21T08:28:00Z</dcterms:created>
  <dc:creator>chh</dc:creator>
  <cp:lastModifiedBy>chh</cp:lastModifiedBy>
  <dcterms:modified xsi:type="dcterms:W3CDTF">2025-03-22T01:14:18Z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6EE76B44564B4B24B1CE09E0BFED7067_11</vt:lpwstr>
  </property>
  <property fmtid="{D5CDD505-2E9C-101B-9397-08002B2CF9AE}" pid="4" name="KSOTemplateDocerSaveRecord">
    <vt:lpwstr>eyJoZGlkIjoiZmI0ZmNkNzEzM2NiM2YxZGY4NDQyNTkxM2Y4YmM2M2MiLCJ1c2VySWQiOiI3MTI2NzgxMDUifQ==</vt:lpwstr>
  </property>
</Properties>
</file>